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4BF4A" w14:textId="5AA4726B" w:rsidR="00462F90" w:rsidRDefault="001F75D4" w:rsidP="00EE2A3C">
      <w:pPr>
        <w:pStyle w:val="Kop1"/>
      </w:pPr>
      <w:r>
        <w:t>Nadere regels uitgifte</w:t>
      </w:r>
      <w:r w:rsidR="00EE2A3C">
        <w:t xml:space="preserve"> ontheffingen parkeerschijfzones 2025</w:t>
      </w:r>
    </w:p>
    <w:p w14:paraId="76179532" w14:textId="50B188AA" w:rsidR="00EE2A3C" w:rsidRDefault="0065436A" w:rsidP="00EE2A3C">
      <w:pPr>
        <w:pStyle w:val="Kop2"/>
      </w:pPr>
      <w:bookmarkStart w:id="0" w:name="_Hlk195110440"/>
      <w:r>
        <w:t>Hoofdstuk 1</w:t>
      </w:r>
      <w:r w:rsidR="00EE2A3C">
        <w:t xml:space="preserve"> Definities en begripsomschrijvingen</w:t>
      </w:r>
    </w:p>
    <w:p w14:paraId="7546C2B5" w14:textId="2B1E9D9F" w:rsidR="00EE2A3C" w:rsidRDefault="00EE2A3C" w:rsidP="00EE2A3C">
      <w:pPr>
        <w:pStyle w:val="Kop3"/>
      </w:pPr>
      <w:r>
        <w:t>Artikel 1 Definities en begripsomschrijvingen</w:t>
      </w:r>
    </w:p>
    <w:p w14:paraId="7C823861" w14:textId="096D5795" w:rsidR="00EE2A3C" w:rsidRDefault="00EE2A3C" w:rsidP="00B53D91">
      <w:r>
        <w:t xml:space="preserve">De definities en begripsomschrijvingen zoals opgenomen in artikel 1 van het Reglement Verkeersregels en Verkeerstekens </w:t>
      </w:r>
      <w:r w:rsidR="00312F69">
        <w:t xml:space="preserve">1990 </w:t>
      </w:r>
      <w:r>
        <w:t>zijn van overeenkomstige toepassing.</w:t>
      </w:r>
    </w:p>
    <w:bookmarkEnd w:id="0"/>
    <w:p w14:paraId="7F509369" w14:textId="28307C93" w:rsidR="000668FF" w:rsidRDefault="0065436A" w:rsidP="000668FF">
      <w:pPr>
        <w:pStyle w:val="Kop2"/>
      </w:pPr>
      <w:r>
        <w:t>Hoofdstuk 2</w:t>
      </w:r>
      <w:r w:rsidR="000668FF">
        <w:t xml:space="preserve"> Parkeerschijfzone Oude kern te Eijsden</w:t>
      </w:r>
    </w:p>
    <w:p w14:paraId="68E71197" w14:textId="374DB0B4" w:rsidR="000668FF" w:rsidRDefault="000668FF" w:rsidP="000668FF">
      <w:pPr>
        <w:pStyle w:val="Kop3"/>
      </w:pPr>
      <w:r>
        <w:t>Artikel 2 Wegen en weggedeelten</w:t>
      </w:r>
    </w:p>
    <w:p w14:paraId="0CF36E5E" w14:textId="5406D1C8" w:rsidR="000668FF" w:rsidRDefault="000668FF" w:rsidP="000668FF">
      <w:r>
        <w:t xml:space="preserve">De parkeerschijfzone Oude kern </w:t>
      </w:r>
      <w:r w:rsidR="002A68F9">
        <w:t>in</w:t>
      </w:r>
      <w:r>
        <w:t xml:space="preserve"> Eijsden omvat de volgende wegen en weggedeelten, zoals opgenomen op de kaart in bijlage 1 bij dit besluit</w:t>
      </w:r>
      <w:r w:rsidRPr="00EE2A3C">
        <w:t>:</w:t>
      </w:r>
    </w:p>
    <w:p w14:paraId="71DDBB20" w14:textId="24AABD8D" w:rsidR="000668FF" w:rsidRDefault="000668FF" w:rsidP="000668FF">
      <w:pPr>
        <w:pStyle w:val="Lijstalinea"/>
        <w:numPr>
          <w:ilvl w:val="0"/>
          <w:numId w:val="8"/>
        </w:numPr>
      </w:pPr>
      <w:r>
        <w:t>Diepstraat voor het weggedeelte tussen de Kerkstraat en de Schoolstraat;</w:t>
      </w:r>
    </w:p>
    <w:p w14:paraId="6260B68E" w14:textId="03F283D4" w:rsidR="000668FF" w:rsidRDefault="000668FF" w:rsidP="000668FF">
      <w:pPr>
        <w:pStyle w:val="Lijstalinea"/>
        <w:numPr>
          <w:ilvl w:val="0"/>
          <w:numId w:val="8"/>
        </w:numPr>
      </w:pPr>
      <w:r>
        <w:t xml:space="preserve">Graaf de </w:t>
      </w:r>
      <w:proofErr w:type="spellStart"/>
      <w:r>
        <w:t>Geloeslaan</w:t>
      </w:r>
      <w:proofErr w:type="spellEnd"/>
      <w:r>
        <w:t xml:space="preserve"> voor het weggedeelte tussen de Diepstraat en de </w:t>
      </w:r>
      <w:proofErr w:type="spellStart"/>
      <w:r>
        <w:t>Caestertstraat</w:t>
      </w:r>
      <w:proofErr w:type="spellEnd"/>
    </w:p>
    <w:p w14:paraId="33485036" w14:textId="77777777" w:rsidR="000668FF" w:rsidRDefault="000668FF" w:rsidP="000668FF">
      <w:pPr>
        <w:pStyle w:val="Lijstalinea"/>
        <w:numPr>
          <w:ilvl w:val="0"/>
          <w:numId w:val="8"/>
        </w:numPr>
      </w:pPr>
      <w:r>
        <w:t xml:space="preserve">Kerkstraat; </w:t>
      </w:r>
    </w:p>
    <w:p w14:paraId="7839ED4C" w14:textId="09B8048E" w:rsidR="000668FF" w:rsidRDefault="000668FF" w:rsidP="000668FF">
      <w:pPr>
        <w:pStyle w:val="Lijstalinea"/>
        <w:numPr>
          <w:ilvl w:val="0"/>
          <w:numId w:val="8"/>
        </w:numPr>
      </w:pPr>
      <w:r>
        <w:t>Prins Bernhardstraat voor het weggedeelte tussen de Schoolstraat en de Graaf de Liedekerkestraat;</w:t>
      </w:r>
    </w:p>
    <w:p w14:paraId="615179F6" w14:textId="77777777" w:rsidR="000668FF" w:rsidRDefault="000668FF" w:rsidP="000668FF">
      <w:pPr>
        <w:pStyle w:val="Lijstalinea"/>
        <w:numPr>
          <w:ilvl w:val="0"/>
          <w:numId w:val="8"/>
        </w:numPr>
      </w:pPr>
      <w:r>
        <w:t>Prinses Beatrixplein;</w:t>
      </w:r>
    </w:p>
    <w:p w14:paraId="0DC0CE3A" w14:textId="77777777" w:rsidR="000668FF" w:rsidRDefault="000668FF" w:rsidP="000668FF">
      <w:pPr>
        <w:pStyle w:val="Lijstalinea"/>
        <w:numPr>
          <w:ilvl w:val="0"/>
          <w:numId w:val="8"/>
        </w:numPr>
      </w:pPr>
      <w:r>
        <w:t>Raadhuisstraat;</w:t>
      </w:r>
    </w:p>
    <w:p w14:paraId="38B44436" w14:textId="1ACDDD8B" w:rsidR="000668FF" w:rsidRDefault="000668FF" w:rsidP="000668FF">
      <w:pPr>
        <w:pStyle w:val="Lijstalinea"/>
        <w:numPr>
          <w:ilvl w:val="0"/>
          <w:numId w:val="8"/>
        </w:numPr>
      </w:pPr>
      <w:proofErr w:type="spellStart"/>
      <w:r>
        <w:t>Vroenhof</w:t>
      </w:r>
      <w:proofErr w:type="spellEnd"/>
      <w:r>
        <w:t xml:space="preserve"> voor het weggedeelte tussen het Prinses Beatrixplein en de Raadhuisstraat;</w:t>
      </w:r>
    </w:p>
    <w:p w14:paraId="76A9ADD8" w14:textId="65A0BC4F" w:rsidR="000668FF" w:rsidRDefault="000668FF" w:rsidP="000668FF">
      <w:pPr>
        <w:pStyle w:val="Lijstalinea"/>
        <w:numPr>
          <w:ilvl w:val="0"/>
          <w:numId w:val="8"/>
        </w:numPr>
      </w:pPr>
      <w:r>
        <w:t>Wilhelminastraat voor het weggedeelte tussen de Diepstraat en de Graaf de Liedekerkestraat.</w:t>
      </w:r>
    </w:p>
    <w:p w14:paraId="173723F6" w14:textId="5986EC8D" w:rsidR="00EE2A3C" w:rsidRDefault="00EE2A3C" w:rsidP="00EE2A3C">
      <w:pPr>
        <w:pStyle w:val="Kop3"/>
      </w:pPr>
      <w:r>
        <w:t>Artikel</w:t>
      </w:r>
      <w:r w:rsidR="000668FF">
        <w:t xml:space="preserve"> 3</w:t>
      </w:r>
      <w:r>
        <w:t xml:space="preserve"> Soorten uit te geven ontheffingen</w:t>
      </w:r>
    </w:p>
    <w:p w14:paraId="771DCE91" w14:textId="77777777" w:rsidR="00727413" w:rsidRDefault="00727413" w:rsidP="00727413">
      <w:r>
        <w:t>De volgende soorten ontheffingen worden uitgegeven:</w:t>
      </w:r>
    </w:p>
    <w:p w14:paraId="4D8A991F" w14:textId="5735C10F" w:rsidR="00727413" w:rsidRDefault="002A68F9" w:rsidP="00727413">
      <w:pPr>
        <w:pStyle w:val="Lijstalinea"/>
        <w:numPr>
          <w:ilvl w:val="0"/>
          <w:numId w:val="16"/>
        </w:numPr>
      </w:pPr>
      <w:r>
        <w:t>b</w:t>
      </w:r>
      <w:r w:rsidR="00727413">
        <w:t>ewonersontheffingen;</w:t>
      </w:r>
    </w:p>
    <w:p w14:paraId="6312A3CF" w14:textId="53A62FD5" w:rsidR="00FF1DC8" w:rsidRDefault="002A68F9" w:rsidP="00FF1DC8">
      <w:pPr>
        <w:pStyle w:val="Lijstalinea"/>
        <w:numPr>
          <w:ilvl w:val="0"/>
          <w:numId w:val="16"/>
        </w:numPr>
      </w:pPr>
      <w:r>
        <w:t>w</w:t>
      </w:r>
      <w:r w:rsidR="00727413">
        <w:t>erkontheffingen</w:t>
      </w:r>
      <w:r w:rsidR="00FF1DC8">
        <w:t>;</w:t>
      </w:r>
    </w:p>
    <w:p w14:paraId="0D324020" w14:textId="1807EF9B" w:rsidR="00FF1DC8" w:rsidRDefault="00FF1DC8" w:rsidP="00FF1DC8">
      <w:pPr>
        <w:pStyle w:val="Lijstalinea"/>
        <w:numPr>
          <w:ilvl w:val="0"/>
          <w:numId w:val="16"/>
        </w:numPr>
      </w:pPr>
      <w:r>
        <w:t>ontheffingen voor religieuze instellingen.</w:t>
      </w:r>
    </w:p>
    <w:p w14:paraId="662BEE3F" w14:textId="7D5063EC" w:rsidR="00EE2A3C" w:rsidRDefault="00EE2A3C" w:rsidP="00EE2A3C">
      <w:pPr>
        <w:pStyle w:val="Kop3"/>
      </w:pPr>
      <w:r>
        <w:t xml:space="preserve">Artikel </w:t>
      </w:r>
      <w:r w:rsidR="000668FF">
        <w:t>4</w:t>
      </w:r>
      <w:r>
        <w:t xml:space="preserve"> Maximaal aantal uit te geven ontheffingen</w:t>
      </w:r>
    </w:p>
    <w:p w14:paraId="7FA67ED3" w14:textId="430383F6" w:rsidR="00EE2A3C" w:rsidRDefault="00EE2A3C" w:rsidP="00EE2A3C">
      <w:pPr>
        <w:pStyle w:val="Lijstalinea"/>
        <w:numPr>
          <w:ilvl w:val="0"/>
          <w:numId w:val="2"/>
        </w:numPr>
      </w:pPr>
      <w:r>
        <w:t xml:space="preserve">Het maximaal aantal uit te geven </w:t>
      </w:r>
      <w:r w:rsidR="005450B6">
        <w:t>ontheffingen</w:t>
      </w:r>
      <w:r>
        <w:t xml:space="preserve"> bedraagt </w:t>
      </w:r>
      <w:r w:rsidR="0065436A">
        <w:t>90.</w:t>
      </w:r>
    </w:p>
    <w:p w14:paraId="65D47F5B" w14:textId="1F02F78E" w:rsidR="005450B6" w:rsidRDefault="007A5E49" w:rsidP="005450B6">
      <w:pPr>
        <w:pStyle w:val="Lijstalinea"/>
        <w:numPr>
          <w:ilvl w:val="0"/>
          <w:numId w:val="2"/>
        </w:numPr>
      </w:pPr>
      <w:r>
        <w:t xml:space="preserve">Als het maximaal aantal uit te geven </w:t>
      </w:r>
      <w:r w:rsidR="005450B6">
        <w:t xml:space="preserve">ontheffingen </w:t>
      </w:r>
      <w:r w:rsidR="002A68F9">
        <w:t xml:space="preserve">is </w:t>
      </w:r>
      <w:r w:rsidR="005450B6">
        <w:t>bereikt,</w:t>
      </w:r>
      <w:r>
        <w:t xml:space="preserve"> worden nieuwe aanvragen op een wachtlijst</w:t>
      </w:r>
      <w:r w:rsidR="00A02195">
        <w:t xml:space="preserve"> geplaatst</w:t>
      </w:r>
      <w:r>
        <w:t xml:space="preserve">. </w:t>
      </w:r>
      <w:r w:rsidR="002A68F9">
        <w:t>Indien</w:t>
      </w:r>
      <w:r>
        <w:t xml:space="preserve"> het aantal uitgegeven </w:t>
      </w:r>
      <w:r w:rsidR="005450B6">
        <w:t>ontheffingen</w:t>
      </w:r>
      <w:r>
        <w:t xml:space="preserve"> onder het maximale aantal zakt, worden eerst aanvragen </w:t>
      </w:r>
      <w:r w:rsidR="002A68F9">
        <w:t>om</w:t>
      </w:r>
      <w:r w:rsidR="005450B6">
        <w:t xml:space="preserve"> bewonersontheffingen </w:t>
      </w:r>
      <w:r w:rsidR="00D3500B">
        <w:t>behandeld van huishoudens die nog niet in het bezit zijn van een bewonersontheffing.</w:t>
      </w:r>
    </w:p>
    <w:p w14:paraId="0783F841" w14:textId="04F87CE6" w:rsidR="00107C0E" w:rsidRDefault="00107C0E" w:rsidP="00107C0E">
      <w:pPr>
        <w:pStyle w:val="Kop3"/>
      </w:pPr>
      <w:r>
        <w:t>Artikel 5 Uitgiftecriteria bewonersontheffingen</w:t>
      </w:r>
    </w:p>
    <w:p w14:paraId="6CD78F3B" w14:textId="0D678EB2" w:rsidR="00107C0E" w:rsidRDefault="00107C0E" w:rsidP="00107C0E">
      <w:pPr>
        <w:pStyle w:val="Lijstalinea"/>
        <w:numPr>
          <w:ilvl w:val="0"/>
          <w:numId w:val="15"/>
        </w:numPr>
      </w:pPr>
      <w:r>
        <w:t>Voor een bewonersontheffing komen alleen aanvragers in aanmerking die wonen in de parkeerschijfzone.</w:t>
      </w:r>
    </w:p>
    <w:p w14:paraId="249EBE6D" w14:textId="7EB2E24B" w:rsidR="00107C0E" w:rsidRDefault="00107C0E" w:rsidP="00107C0E">
      <w:pPr>
        <w:pStyle w:val="Lijstalinea"/>
        <w:numPr>
          <w:ilvl w:val="0"/>
          <w:numId w:val="15"/>
        </w:numPr>
      </w:pPr>
      <w:r>
        <w:t xml:space="preserve">Per huishouden worden maximaal twee bewonersontheffingen </w:t>
      </w:r>
      <w:r w:rsidR="002A68F9">
        <w:t>verleend.</w:t>
      </w:r>
    </w:p>
    <w:p w14:paraId="78FC15F7" w14:textId="2B23E4A8" w:rsidR="00107C0E" w:rsidRDefault="00107C0E" w:rsidP="00107C0E">
      <w:pPr>
        <w:pStyle w:val="Lijstalinea"/>
        <w:numPr>
          <w:ilvl w:val="0"/>
          <w:numId w:val="15"/>
        </w:numPr>
      </w:pPr>
      <w:r>
        <w:t>Als op één adres meer</w:t>
      </w:r>
      <w:r w:rsidR="002A68F9">
        <w:t xml:space="preserve"> dan één</w:t>
      </w:r>
      <w:r>
        <w:t xml:space="preserve"> huishouden staa</w:t>
      </w:r>
      <w:r w:rsidR="002A68F9">
        <w:t>t</w:t>
      </w:r>
      <w:r>
        <w:t xml:space="preserve"> ingeschreven, heeft ieder huishouden apart recht op bewonersontheffingen.</w:t>
      </w:r>
    </w:p>
    <w:p w14:paraId="79E391AC" w14:textId="7E88B7FF" w:rsidR="00107C0E" w:rsidRDefault="002A68F9" w:rsidP="00107C0E">
      <w:pPr>
        <w:pStyle w:val="Lijstalinea"/>
        <w:numPr>
          <w:ilvl w:val="0"/>
          <w:numId w:val="15"/>
        </w:numPr>
      </w:pPr>
      <w:r>
        <w:t>In</w:t>
      </w:r>
      <w:r w:rsidR="00107C0E">
        <w:t xml:space="preserve"> een bewonersontheffing worden maximaal twee kentekens opgenomen.</w:t>
      </w:r>
    </w:p>
    <w:p w14:paraId="2A5877E2" w14:textId="77777777" w:rsidR="00107C0E" w:rsidRDefault="00107C0E" w:rsidP="00107C0E">
      <w:pPr>
        <w:pStyle w:val="Lijstalinea"/>
        <w:numPr>
          <w:ilvl w:val="0"/>
          <w:numId w:val="15"/>
        </w:numPr>
      </w:pPr>
      <w:r>
        <w:t>De aanvrager moet het motorvoertuig of de motorvoertuigen waarvoor een ontheffing wordt aangevraagd in eigendom hebben of hierover het gebruiksrecht hebben. De aanvrager dient dit aan te tonen met een kopie van het kentekenbewijs en, als hij niet de eigenaar is, ook met een leaseovereenkomst of een schriftelijke verklaring van de eigenaar waarin het gebruiksrecht wordt aangetoond.</w:t>
      </w:r>
    </w:p>
    <w:p w14:paraId="1EFBF172" w14:textId="194AD653" w:rsidR="00107C0E" w:rsidRPr="001A5D66" w:rsidRDefault="00107C0E" w:rsidP="00107C0E">
      <w:pPr>
        <w:pStyle w:val="Kop3"/>
      </w:pPr>
      <w:r>
        <w:t>Artikel 6 Uitgiftecriteria werkontheffingen</w:t>
      </w:r>
    </w:p>
    <w:p w14:paraId="426A5BCF" w14:textId="77777777" w:rsidR="00107C0E" w:rsidRDefault="00107C0E" w:rsidP="00107C0E">
      <w:pPr>
        <w:pStyle w:val="Lijstalinea"/>
        <w:numPr>
          <w:ilvl w:val="0"/>
          <w:numId w:val="12"/>
        </w:numPr>
      </w:pPr>
      <w:r>
        <w:t>Werkontheffingen worden uitgegeven op naam van een onderneming.</w:t>
      </w:r>
    </w:p>
    <w:p w14:paraId="0550F34A" w14:textId="58D9F7B6" w:rsidR="00107C0E" w:rsidRDefault="00107C0E" w:rsidP="00107C0E">
      <w:pPr>
        <w:pStyle w:val="Lijstalinea"/>
        <w:numPr>
          <w:ilvl w:val="0"/>
          <w:numId w:val="12"/>
        </w:numPr>
      </w:pPr>
      <w:r>
        <w:t>Voor een werkontheffing komen alleen ondernemingen in aanmerking die een hoofd- of nevenvestiging in de parkeerschijfzone hebben of daarin zeer regelmatig werkzaamheden moeten uitvoeren.</w:t>
      </w:r>
    </w:p>
    <w:p w14:paraId="0D91FE41" w14:textId="3D00F209" w:rsidR="00107C0E" w:rsidRDefault="00107C0E" w:rsidP="00107C0E">
      <w:pPr>
        <w:pStyle w:val="Lijstalinea"/>
        <w:numPr>
          <w:ilvl w:val="0"/>
          <w:numId w:val="12"/>
        </w:numPr>
      </w:pPr>
      <w:r>
        <w:t>Geen werkontheffing wordt verleend aan aanvragers die in de parkeerschijfzone wonen.</w:t>
      </w:r>
    </w:p>
    <w:p w14:paraId="34D3C913" w14:textId="072B5B4E" w:rsidR="00107C0E" w:rsidRDefault="002A68F9" w:rsidP="00107C0E">
      <w:pPr>
        <w:pStyle w:val="Lijstalinea"/>
        <w:numPr>
          <w:ilvl w:val="0"/>
          <w:numId w:val="12"/>
        </w:numPr>
      </w:pPr>
      <w:r>
        <w:t>In</w:t>
      </w:r>
      <w:r w:rsidR="00107C0E">
        <w:t xml:space="preserve"> een werkontheffing worden de naam van de onderneming en maximaal twee kentekens opgenomen.</w:t>
      </w:r>
    </w:p>
    <w:p w14:paraId="3BD59FFD" w14:textId="77777777" w:rsidR="00107C0E" w:rsidRPr="00B53D91" w:rsidRDefault="00107C0E" w:rsidP="00107C0E">
      <w:pPr>
        <w:pStyle w:val="Lijstalinea"/>
        <w:numPr>
          <w:ilvl w:val="0"/>
          <w:numId w:val="12"/>
        </w:numPr>
      </w:pPr>
      <w:r>
        <w:t>De onderneming moet het motorvoertuig of de motorvoertuigen waarvoor een ontheffing wordt aangevraagd in eigendom hebben of hierover het gebruiksrecht hebben. De aanvrager dient dit aan te tonen met een kopie van het kentekenbewijs en, als de onderneming niet de eigenaar is, ook met een leaseovereenkomst of een schriftelijke verklaring van de eigenaar waarin het gebruiksrecht wordt aangetoond. Als de onderneming een eenmanszaak is, dan moet aangetoond worden dat de eigenaar van deze eenmanszaak het eigendom of gebruiksrecht heeft over het motorvoertuig of de motorvoertuigen.</w:t>
      </w:r>
    </w:p>
    <w:p w14:paraId="58CE5CC6" w14:textId="4C891120" w:rsidR="00FF1DC8" w:rsidRPr="001A5D66" w:rsidRDefault="00FF1DC8" w:rsidP="00FF1DC8">
      <w:pPr>
        <w:pStyle w:val="Kop3"/>
      </w:pPr>
      <w:r>
        <w:t xml:space="preserve">Artikel </w:t>
      </w:r>
      <w:r w:rsidR="00B513AB">
        <w:t>7</w:t>
      </w:r>
      <w:r>
        <w:t xml:space="preserve"> Uitgiftecriteria </w:t>
      </w:r>
      <w:r w:rsidR="003F463E">
        <w:t>ontheffingen voor religieuze instellingen</w:t>
      </w:r>
    </w:p>
    <w:p w14:paraId="408C1BB6" w14:textId="77777777" w:rsidR="00FF1DC8" w:rsidRDefault="00FF1DC8" w:rsidP="00FF1DC8">
      <w:pPr>
        <w:pStyle w:val="Lijstalinea"/>
        <w:numPr>
          <w:ilvl w:val="0"/>
          <w:numId w:val="20"/>
        </w:numPr>
      </w:pPr>
      <w:r>
        <w:t>Ontheffingen voor religieuze instellingen worden uitgegeven op naam van een vereniging, stichting of organisatie die religieuze diensten organiseert in een gebouw in de parkeerschijfzone of binnen een afstand van tweehonderd meter van deze zone.</w:t>
      </w:r>
    </w:p>
    <w:p w14:paraId="6F34F9C5" w14:textId="68E7640C" w:rsidR="00FF1DC8" w:rsidRDefault="00FF1DC8" w:rsidP="00FF1DC8">
      <w:pPr>
        <w:pStyle w:val="Lijstalinea"/>
        <w:numPr>
          <w:ilvl w:val="0"/>
          <w:numId w:val="20"/>
        </w:numPr>
      </w:pPr>
      <w:r>
        <w:t>Per religieuze instelling worden maximaal vijf ontheffingen verleend.</w:t>
      </w:r>
    </w:p>
    <w:p w14:paraId="03ECE34F" w14:textId="72A905BC" w:rsidR="00107C0E" w:rsidRDefault="00FF1DC8" w:rsidP="00FF1DC8">
      <w:pPr>
        <w:pStyle w:val="Lijstalinea"/>
        <w:numPr>
          <w:ilvl w:val="0"/>
          <w:numId w:val="20"/>
        </w:numPr>
      </w:pPr>
      <w:r>
        <w:t xml:space="preserve">In een ontheffing voor religieuze instellingen wordt de naam van de instelling opgenomen. </w:t>
      </w:r>
    </w:p>
    <w:p w14:paraId="7619D264" w14:textId="5E629D44" w:rsidR="000668FF" w:rsidRDefault="0065436A" w:rsidP="000668FF">
      <w:pPr>
        <w:pStyle w:val="Kop2"/>
      </w:pPr>
      <w:r>
        <w:t xml:space="preserve">Hoofdstuk </w:t>
      </w:r>
      <w:r w:rsidR="003B104C">
        <w:t>3</w:t>
      </w:r>
      <w:r w:rsidR="000668FF">
        <w:t xml:space="preserve"> Overige parkeerschijfzones</w:t>
      </w:r>
    </w:p>
    <w:p w14:paraId="1807F7EC" w14:textId="4C7335D2" w:rsidR="000668FF" w:rsidRDefault="000668FF" w:rsidP="000668FF">
      <w:pPr>
        <w:pStyle w:val="Kop3"/>
      </w:pPr>
      <w:r>
        <w:t xml:space="preserve">Artikel </w:t>
      </w:r>
      <w:r w:rsidR="003B104C">
        <w:t>8</w:t>
      </w:r>
      <w:r>
        <w:t xml:space="preserve"> Overige parkeerschijfzones</w:t>
      </w:r>
    </w:p>
    <w:p w14:paraId="75915B6C" w14:textId="533D1DED" w:rsidR="000668FF" w:rsidRDefault="000668FF" w:rsidP="000668FF">
      <w:pPr>
        <w:pStyle w:val="Lijstalinea"/>
        <w:numPr>
          <w:ilvl w:val="0"/>
          <w:numId w:val="10"/>
        </w:numPr>
      </w:pPr>
      <w:r>
        <w:t>De overige parkeerschijfzones zijn alle andere wegen en weggedeelten die zijn aangeduid met verkeersborden E10 en/of E11 uit bijlage 1 van het Reglement Verkeersregels en Verkeerstekens 1990.</w:t>
      </w:r>
    </w:p>
    <w:p w14:paraId="397CAD20" w14:textId="47D37402" w:rsidR="000668FF" w:rsidRDefault="000668FF" w:rsidP="000668FF">
      <w:pPr>
        <w:pStyle w:val="Lijstalinea"/>
        <w:numPr>
          <w:ilvl w:val="0"/>
          <w:numId w:val="10"/>
        </w:numPr>
      </w:pPr>
      <w:r>
        <w:t>Voor de overige parkeerschijfzones worden geen ontheffingen verleend.</w:t>
      </w:r>
    </w:p>
    <w:p w14:paraId="70A7894D" w14:textId="6E1861B6" w:rsidR="000668FF" w:rsidRDefault="0065436A" w:rsidP="000668FF">
      <w:pPr>
        <w:pStyle w:val="Kop2"/>
      </w:pPr>
      <w:r>
        <w:t xml:space="preserve">Hoofdstuk </w:t>
      </w:r>
      <w:r w:rsidR="003B104C">
        <w:t>4</w:t>
      </w:r>
      <w:r w:rsidR="000668FF">
        <w:t xml:space="preserve"> Procedure verlenging, uitgifte of intrekking van ontheffingen</w:t>
      </w:r>
    </w:p>
    <w:p w14:paraId="270F14B8" w14:textId="0A12E45A" w:rsidR="000668FF" w:rsidRDefault="000668FF" w:rsidP="000668FF">
      <w:pPr>
        <w:pStyle w:val="Kop3"/>
      </w:pPr>
      <w:r>
        <w:t xml:space="preserve">Artikel </w:t>
      </w:r>
      <w:r w:rsidR="003B104C">
        <w:t>9</w:t>
      </w:r>
      <w:r>
        <w:t xml:space="preserve"> </w:t>
      </w:r>
      <w:r w:rsidR="004978C7">
        <w:t>Geldigheidsduur van</w:t>
      </w:r>
      <w:r>
        <w:t xml:space="preserve"> ontheffingen</w:t>
      </w:r>
    </w:p>
    <w:p w14:paraId="48549910" w14:textId="7A3444D8" w:rsidR="004978C7" w:rsidRDefault="004978C7" w:rsidP="0065436A">
      <w:r>
        <w:t xml:space="preserve">Ontheffingen zijn twee jaar geldig. Na afloop van de geldigheidsduur </w:t>
      </w:r>
      <w:r w:rsidR="00301C71">
        <w:t>kan</w:t>
      </w:r>
      <w:r>
        <w:t xml:space="preserve"> de aanvrager een nieuwe ontheffing aanvragen.</w:t>
      </w:r>
      <w:r w:rsidR="005450B6">
        <w:t xml:space="preserve"> De geldigheidsduur wordt vermeld </w:t>
      </w:r>
      <w:r w:rsidR="00301C71">
        <w:t>in</w:t>
      </w:r>
      <w:r w:rsidR="005450B6">
        <w:t xml:space="preserve"> de ontheffing.</w:t>
      </w:r>
    </w:p>
    <w:p w14:paraId="39986AAB" w14:textId="4FE8263F" w:rsidR="004978C7" w:rsidRDefault="000668FF" w:rsidP="000668FF">
      <w:pPr>
        <w:pStyle w:val="Kop3"/>
      </w:pPr>
      <w:r>
        <w:t>Artikel 1</w:t>
      </w:r>
      <w:r w:rsidR="003B104C">
        <w:t>0</w:t>
      </w:r>
      <w:r>
        <w:t xml:space="preserve"> </w:t>
      </w:r>
      <w:r w:rsidR="004978C7">
        <w:t>Aanvraag aanvullen of verbeteren</w:t>
      </w:r>
    </w:p>
    <w:p w14:paraId="1065DE39" w14:textId="6421A0F7" w:rsidR="000668FF" w:rsidRDefault="004978C7" w:rsidP="004978C7">
      <w:pPr>
        <w:pStyle w:val="Lijstalinea"/>
        <w:numPr>
          <w:ilvl w:val="0"/>
          <w:numId w:val="13"/>
        </w:numPr>
      </w:pPr>
      <w:r>
        <w:t>Als een aanvraag niet voldoet aan de eisen of regels, wordt de aanvrager in de gelegenheid gesteld de aanvraag binnen een termijn van ten hoogste twee weken, nadat hem dit is medegedeeld, aan te vullen of te verbeteren.</w:t>
      </w:r>
    </w:p>
    <w:p w14:paraId="376EBADD" w14:textId="1C6D0DAF" w:rsidR="004978C7" w:rsidRDefault="004978C7" w:rsidP="004978C7">
      <w:pPr>
        <w:pStyle w:val="Lijstalinea"/>
        <w:numPr>
          <w:ilvl w:val="0"/>
          <w:numId w:val="13"/>
        </w:numPr>
      </w:pPr>
      <w:r>
        <w:t>Als de aanvrager van de in het vorige lid bedoelde gelegenheid onvoldoende of geen gebruik maakt, verklaart het college van burgemeester en wethouders hem in zijn aanvraag niet-ontvankelijk.</w:t>
      </w:r>
    </w:p>
    <w:p w14:paraId="1ECBE1C1" w14:textId="3FB36529" w:rsidR="004978C7" w:rsidRDefault="004978C7" w:rsidP="004978C7">
      <w:pPr>
        <w:pStyle w:val="Kop3"/>
      </w:pPr>
      <w:r>
        <w:t>Artikel 1</w:t>
      </w:r>
      <w:r w:rsidR="003B104C">
        <w:t>1</w:t>
      </w:r>
      <w:r>
        <w:t xml:space="preserve"> Intrekking van ontheffingen</w:t>
      </w:r>
    </w:p>
    <w:p w14:paraId="268C4F37" w14:textId="0DBE7C38" w:rsidR="004978C7" w:rsidRDefault="004978C7" w:rsidP="004978C7">
      <w:r>
        <w:t xml:space="preserve">Als een ontheffing oneigenlijk wordt gebruikt, kan deze worden ingetrokken. </w:t>
      </w:r>
      <w:r w:rsidR="00347319">
        <w:t>Een aanvraag</w:t>
      </w:r>
      <w:r>
        <w:t xml:space="preserve"> </w:t>
      </w:r>
      <w:r w:rsidR="00301C71">
        <w:t>om</w:t>
      </w:r>
      <w:r>
        <w:t xml:space="preserve"> een nieuwe ontheffing </w:t>
      </w:r>
      <w:r w:rsidR="00347319">
        <w:t xml:space="preserve">wordt </w:t>
      </w:r>
      <w:r>
        <w:t>pas behandeld na afloop van de geldigheidsduur van de ingetrokken ontheffing.</w:t>
      </w:r>
    </w:p>
    <w:p w14:paraId="52CD8303" w14:textId="42447985" w:rsidR="004978C7" w:rsidRDefault="0065436A" w:rsidP="00EB4A72">
      <w:pPr>
        <w:pStyle w:val="Kop2"/>
      </w:pPr>
      <w:r>
        <w:t xml:space="preserve">Hoofdstuk </w:t>
      </w:r>
      <w:r w:rsidR="003B104C">
        <w:t>5</w:t>
      </w:r>
      <w:r w:rsidR="00EB4A72">
        <w:t xml:space="preserve"> Hardheidsclausule</w:t>
      </w:r>
    </w:p>
    <w:p w14:paraId="711F8CDA" w14:textId="13486FCF" w:rsidR="003F463E" w:rsidRDefault="00EB4A72" w:rsidP="003F463E">
      <w:pPr>
        <w:pStyle w:val="Kop3"/>
      </w:pPr>
      <w:r>
        <w:t>Artikel 1</w:t>
      </w:r>
      <w:r w:rsidR="003B104C">
        <w:t>2</w:t>
      </w:r>
      <w:r>
        <w:t xml:space="preserve"> Hardheidsclausule</w:t>
      </w:r>
      <w:bookmarkStart w:id="1" w:name="_Hlk199174949"/>
    </w:p>
    <w:p w14:paraId="40536220" w14:textId="44B1B953" w:rsidR="00B513AB" w:rsidRPr="003F463E" w:rsidRDefault="00B513AB" w:rsidP="003F463E">
      <w:pPr>
        <w:rPr>
          <w:rFonts w:asciiTheme="majorHAnsi" w:eastAsiaTheme="majorEastAsia" w:hAnsiTheme="majorHAnsi" w:cstheme="majorBidi"/>
          <w:color w:val="F29400" w:themeColor="accent2"/>
          <w:sz w:val="26"/>
          <w:szCs w:val="26"/>
        </w:rPr>
      </w:pPr>
      <w:r w:rsidRPr="00B513AB">
        <w:t>Als het college van burgemeester en wethouders vindt dat het strikt toepassen van deze regels in een specifiek geval tot een onredelijke uitkomst leidt, kan het besluiten om van de regels af te wijken. </w:t>
      </w:r>
    </w:p>
    <w:bookmarkEnd w:id="1"/>
    <w:p w14:paraId="525B7421" w14:textId="2F985B25" w:rsidR="00EB4A72" w:rsidRDefault="0065436A" w:rsidP="00EB4A72">
      <w:pPr>
        <w:pStyle w:val="Kop2"/>
      </w:pPr>
      <w:r>
        <w:t xml:space="preserve">Hoofdstuk </w:t>
      </w:r>
      <w:r w:rsidR="003B104C">
        <w:t>6</w:t>
      </w:r>
      <w:r w:rsidR="00EB4A72">
        <w:t xml:space="preserve"> Slotbepalingen</w:t>
      </w:r>
    </w:p>
    <w:p w14:paraId="3D212CF9" w14:textId="3FF91036" w:rsidR="00EB4A72" w:rsidRPr="00EB4A72" w:rsidRDefault="00EB4A72" w:rsidP="00EB4A72">
      <w:pPr>
        <w:pStyle w:val="Kop3"/>
      </w:pPr>
      <w:r>
        <w:t>Artikel 1</w:t>
      </w:r>
      <w:r w:rsidR="003B104C">
        <w:t>3</w:t>
      </w:r>
      <w:r>
        <w:t xml:space="preserve"> Overgangsbepaling</w:t>
      </w:r>
    </w:p>
    <w:p w14:paraId="26C4AF0C" w14:textId="0480A5F7" w:rsidR="000668FF" w:rsidRDefault="00EB4A72" w:rsidP="000668FF">
      <w:r>
        <w:t xml:space="preserve">Parkeervergunningen die zijn verleend op basis van het Besluit uitgifte en nadere regels parkeervergunningen 2015 zijn geldig als ontheffing voor de parkeerschijfzone Oude kern </w:t>
      </w:r>
      <w:r w:rsidR="00301C71">
        <w:t>in</w:t>
      </w:r>
      <w:r>
        <w:t xml:space="preserve"> Eijsden.</w:t>
      </w:r>
    </w:p>
    <w:p w14:paraId="6FD102BB" w14:textId="2CE5F3C1" w:rsidR="00EE2A3C" w:rsidRDefault="00EB4A72" w:rsidP="00EB4A72">
      <w:pPr>
        <w:pStyle w:val="Kop3"/>
      </w:pPr>
      <w:r>
        <w:t>Artikel 1</w:t>
      </w:r>
      <w:r w:rsidR="003B104C">
        <w:t>4</w:t>
      </w:r>
      <w:r>
        <w:t xml:space="preserve"> Inwerkingtreding en citeertitel</w:t>
      </w:r>
    </w:p>
    <w:p w14:paraId="5608A0F5" w14:textId="54E36330" w:rsidR="00EB4A72" w:rsidRDefault="00EB4A72" w:rsidP="00EB4A72">
      <w:pPr>
        <w:pStyle w:val="Lijstalinea"/>
        <w:numPr>
          <w:ilvl w:val="0"/>
          <w:numId w:val="14"/>
        </w:numPr>
      </w:pPr>
      <w:r>
        <w:t>Dit besluit treedt in werking met ingang van de eerste dag na die van de bekendmaking.</w:t>
      </w:r>
    </w:p>
    <w:p w14:paraId="509838D5" w14:textId="03EB9159" w:rsidR="00EB4A72" w:rsidRDefault="00EB4A72" w:rsidP="00EB4A72">
      <w:pPr>
        <w:pStyle w:val="Lijstalinea"/>
        <w:numPr>
          <w:ilvl w:val="0"/>
          <w:numId w:val="14"/>
        </w:numPr>
      </w:pPr>
      <w:r>
        <w:t>Dit besluit kan worden aangehaald als Nadere regels uitgifte ontheffingen parkeerschijfzones 2025.</w:t>
      </w:r>
    </w:p>
    <w:p w14:paraId="3E74F577" w14:textId="77777777" w:rsidR="00045D53" w:rsidRDefault="00045D53" w:rsidP="00045D53"/>
    <w:p w14:paraId="32FAF8D0" w14:textId="6D6F0B56" w:rsidR="00045D53" w:rsidRDefault="00045D53" w:rsidP="00045D53">
      <w:pPr>
        <w:pStyle w:val="Kop2"/>
      </w:pPr>
      <w:r>
        <w:t>Bijlage 1</w:t>
      </w:r>
    </w:p>
    <w:p w14:paraId="799F588A" w14:textId="5051F305" w:rsidR="00045D53" w:rsidRPr="00045D53" w:rsidRDefault="00945C5A" w:rsidP="00045D53">
      <w:r>
        <w:rPr>
          <w:noProof/>
        </w:rPr>
        <w:drawing>
          <wp:inline distT="0" distB="0" distL="0" distR="0" wp14:anchorId="72E4F449" wp14:editId="76156D0A">
            <wp:extent cx="6119495" cy="8663305"/>
            <wp:effectExtent l="0" t="0" r="0" b="4445"/>
            <wp:docPr id="2059417390" name="Afbeelding 2" descr="Afbeelding met kaart, tekst, atla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417390" name="Afbeelding 2" descr="Afbeelding met kaart, tekst, atlas&#10;&#10;Automatisch gegenereerde beschrijving"/>
                    <pic:cNvPicPr/>
                  </pic:nvPicPr>
                  <pic:blipFill>
                    <a:blip r:embed="rId7">
                      <a:extLst>
                        <a:ext uri="{28A0092B-C50C-407E-A947-70E740481C1C}">
                          <a14:useLocalDpi xmlns:a14="http://schemas.microsoft.com/office/drawing/2010/main" val="0"/>
                        </a:ext>
                      </a:extLst>
                    </a:blip>
                    <a:stretch>
                      <a:fillRect/>
                    </a:stretch>
                  </pic:blipFill>
                  <pic:spPr>
                    <a:xfrm>
                      <a:off x="0" y="0"/>
                      <a:ext cx="6119495" cy="8663305"/>
                    </a:xfrm>
                    <a:prstGeom prst="rect">
                      <a:avLst/>
                    </a:prstGeom>
                  </pic:spPr>
                </pic:pic>
              </a:graphicData>
            </a:graphic>
          </wp:inline>
        </w:drawing>
      </w:r>
    </w:p>
    <w:sectPr w:rsidR="00045D53" w:rsidRPr="00045D53" w:rsidSect="0091538D">
      <w:pgSz w:w="11906" w:h="16838"/>
      <w:pgMar w:top="1418" w:right="85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A104A"/>
    <w:multiLevelType w:val="hybridMultilevel"/>
    <w:tmpl w:val="1012F70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657125"/>
    <w:multiLevelType w:val="hybridMultilevel"/>
    <w:tmpl w:val="1A6056F2"/>
    <w:lvl w:ilvl="0" w:tplc="0413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A00D79"/>
    <w:multiLevelType w:val="hybridMultilevel"/>
    <w:tmpl w:val="3D74117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1231301"/>
    <w:multiLevelType w:val="hybridMultilevel"/>
    <w:tmpl w:val="38E8A9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C164B0"/>
    <w:multiLevelType w:val="hybridMultilevel"/>
    <w:tmpl w:val="009A82E0"/>
    <w:lvl w:ilvl="0" w:tplc="FFFFFFF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8AD52E0"/>
    <w:multiLevelType w:val="hybridMultilevel"/>
    <w:tmpl w:val="AB22A8CC"/>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D25F54"/>
    <w:multiLevelType w:val="hybridMultilevel"/>
    <w:tmpl w:val="6EFE6B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DD36B85"/>
    <w:multiLevelType w:val="hybridMultilevel"/>
    <w:tmpl w:val="4C24904C"/>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5246B88"/>
    <w:multiLevelType w:val="hybridMultilevel"/>
    <w:tmpl w:val="38E8A968"/>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8B66D8D"/>
    <w:multiLevelType w:val="hybridMultilevel"/>
    <w:tmpl w:val="38E8A9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EED4B88"/>
    <w:multiLevelType w:val="hybridMultilevel"/>
    <w:tmpl w:val="6EFE6B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60E4DAC"/>
    <w:multiLevelType w:val="hybridMultilevel"/>
    <w:tmpl w:val="6BC4C4B8"/>
    <w:lvl w:ilvl="0" w:tplc="0413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FCD2E7C"/>
    <w:multiLevelType w:val="hybridMultilevel"/>
    <w:tmpl w:val="D46CED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EA649E2"/>
    <w:multiLevelType w:val="hybridMultilevel"/>
    <w:tmpl w:val="1012F708"/>
    <w:lvl w:ilvl="0" w:tplc="0413000F">
      <w:start w:val="1"/>
      <w:numFmt w:val="decimal"/>
      <w:lvlText w:val="%1."/>
      <w:lvlJc w:val="left"/>
      <w:pPr>
        <w:ind w:left="720" w:hanging="360"/>
      </w:pPr>
      <w:rPr>
        <w:rFonts w:hint="default"/>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3C54A80"/>
    <w:multiLevelType w:val="hybridMultilevel"/>
    <w:tmpl w:val="7D6E63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3EC2510"/>
    <w:multiLevelType w:val="hybridMultilevel"/>
    <w:tmpl w:val="649044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59014A9"/>
    <w:multiLevelType w:val="hybridMultilevel"/>
    <w:tmpl w:val="B1A494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BE037C1"/>
    <w:multiLevelType w:val="hybridMultilevel"/>
    <w:tmpl w:val="6EFE6BD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CF661AD"/>
    <w:multiLevelType w:val="hybridMultilevel"/>
    <w:tmpl w:val="0CC4FD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E772C80"/>
    <w:multiLevelType w:val="hybridMultilevel"/>
    <w:tmpl w:val="E5BE6CB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1185918">
    <w:abstractNumId w:val="13"/>
  </w:num>
  <w:num w:numId="2" w16cid:durableId="1508134176">
    <w:abstractNumId w:val="2"/>
  </w:num>
  <w:num w:numId="3" w16cid:durableId="44841843">
    <w:abstractNumId w:val="12"/>
  </w:num>
  <w:num w:numId="4" w16cid:durableId="2130735974">
    <w:abstractNumId w:val="17"/>
  </w:num>
  <w:num w:numId="5" w16cid:durableId="1709991875">
    <w:abstractNumId w:val="19"/>
  </w:num>
  <w:num w:numId="6" w16cid:durableId="1674068968">
    <w:abstractNumId w:val="16"/>
  </w:num>
  <w:num w:numId="7" w16cid:durableId="283581835">
    <w:abstractNumId w:val="5"/>
  </w:num>
  <w:num w:numId="8" w16cid:durableId="2047485617">
    <w:abstractNumId w:val="1"/>
  </w:num>
  <w:num w:numId="9" w16cid:durableId="2041200214">
    <w:abstractNumId w:val="11"/>
  </w:num>
  <w:num w:numId="10" w16cid:durableId="324014145">
    <w:abstractNumId w:val="0"/>
  </w:num>
  <w:num w:numId="11" w16cid:durableId="1938901721">
    <w:abstractNumId w:val="8"/>
  </w:num>
  <w:num w:numId="12" w16cid:durableId="472216119">
    <w:abstractNumId w:val="9"/>
  </w:num>
  <w:num w:numId="13" w16cid:durableId="460195730">
    <w:abstractNumId w:val="7"/>
  </w:num>
  <w:num w:numId="14" w16cid:durableId="817376990">
    <w:abstractNumId w:val="14"/>
  </w:num>
  <w:num w:numId="15" w16cid:durableId="1740204563">
    <w:abstractNumId w:val="10"/>
  </w:num>
  <w:num w:numId="16" w16cid:durableId="394469256">
    <w:abstractNumId w:val="18"/>
  </w:num>
  <w:num w:numId="17" w16cid:durableId="1562406352">
    <w:abstractNumId w:val="6"/>
  </w:num>
  <w:num w:numId="18" w16cid:durableId="1284536608">
    <w:abstractNumId w:val="3"/>
  </w:num>
  <w:num w:numId="19" w16cid:durableId="703023412">
    <w:abstractNumId w:val="4"/>
  </w:num>
  <w:num w:numId="20" w16cid:durableId="5636123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A3C"/>
    <w:rsid w:val="00006AFC"/>
    <w:rsid w:val="00045D53"/>
    <w:rsid w:val="000668FF"/>
    <w:rsid w:val="00107C0E"/>
    <w:rsid w:val="001500A5"/>
    <w:rsid w:val="001739E9"/>
    <w:rsid w:val="001A5D66"/>
    <w:rsid w:val="001F75D4"/>
    <w:rsid w:val="00254CD3"/>
    <w:rsid w:val="002A68F9"/>
    <w:rsid w:val="00301C71"/>
    <w:rsid w:val="00312F69"/>
    <w:rsid w:val="00347319"/>
    <w:rsid w:val="003B104C"/>
    <w:rsid w:val="003F463E"/>
    <w:rsid w:val="003F49B1"/>
    <w:rsid w:val="0046184D"/>
    <w:rsid w:val="00462F90"/>
    <w:rsid w:val="00467334"/>
    <w:rsid w:val="004978C7"/>
    <w:rsid w:val="005450B6"/>
    <w:rsid w:val="00562966"/>
    <w:rsid w:val="0065436A"/>
    <w:rsid w:val="00674DF7"/>
    <w:rsid w:val="00695BEB"/>
    <w:rsid w:val="00701185"/>
    <w:rsid w:val="00727413"/>
    <w:rsid w:val="007A5E49"/>
    <w:rsid w:val="007D202E"/>
    <w:rsid w:val="00807AD1"/>
    <w:rsid w:val="00862543"/>
    <w:rsid w:val="00863C3B"/>
    <w:rsid w:val="00900EAD"/>
    <w:rsid w:val="0091538D"/>
    <w:rsid w:val="009374D6"/>
    <w:rsid w:val="00945C5A"/>
    <w:rsid w:val="00A02195"/>
    <w:rsid w:val="00AC06A4"/>
    <w:rsid w:val="00AE2F33"/>
    <w:rsid w:val="00AF5B53"/>
    <w:rsid w:val="00B513AB"/>
    <w:rsid w:val="00B53D91"/>
    <w:rsid w:val="00BA7AFC"/>
    <w:rsid w:val="00C3420D"/>
    <w:rsid w:val="00C53DCF"/>
    <w:rsid w:val="00C925EF"/>
    <w:rsid w:val="00CD7639"/>
    <w:rsid w:val="00CE3086"/>
    <w:rsid w:val="00CF370F"/>
    <w:rsid w:val="00D3500B"/>
    <w:rsid w:val="00D509C7"/>
    <w:rsid w:val="00D969B4"/>
    <w:rsid w:val="00D96A5E"/>
    <w:rsid w:val="00DA68EC"/>
    <w:rsid w:val="00DB45D4"/>
    <w:rsid w:val="00E40B2D"/>
    <w:rsid w:val="00E92238"/>
    <w:rsid w:val="00EB4A72"/>
    <w:rsid w:val="00EC4BC6"/>
    <w:rsid w:val="00EE2A3C"/>
    <w:rsid w:val="00FF1D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B914B"/>
  <w15:chartTrackingRefBased/>
  <w15:docId w15:val="{706EC1D9-BF2E-42DD-B068-0AE22A0AF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1"/>
        <w:szCs w:val="21"/>
        <w:lang w:val="nl-NL"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53D91"/>
    <w:rPr>
      <w:sz w:val="20"/>
    </w:rPr>
  </w:style>
  <w:style w:type="paragraph" w:styleId="Kop1">
    <w:name w:val="heading 1"/>
    <w:basedOn w:val="Standaard"/>
    <w:next w:val="Standaard"/>
    <w:link w:val="Kop1Char"/>
    <w:uiPriority w:val="9"/>
    <w:qFormat/>
    <w:rsid w:val="00863C3B"/>
    <w:pPr>
      <w:keepNext/>
      <w:keepLines/>
      <w:pBdr>
        <w:bottom w:val="single" w:sz="4" w:space="1" w:color="F29400"/>
      </w:pBdr>
      <w:spacing w:before="400" w:after="40" w:line="340" w:lineRule="exact"/>
      <w:outlineLvl w:val="0"/>
    </w:pPr>
    <w:rPr>
      <w:rFonts w:asciiTheme="majorHAnsi" w:eastAsiaTheme="majorEastAsia" w:hAnsiTheme="majorHAnsi" w:cstheme="majorBidi"/>
      <w:color w:val="0091BD" w:themeColor="accent1"/>
      <w:sz w:val="30"/>
      <w:szCs w:val="36"/>
    </w:rPr>
  </w:style>
  <w:style w:type="paragraph" w:styleId="Kop2">
    <w:name w:val="heading 2"/>
    <w:basedOn w:val="Standaard"/>
    <w:next w:val="Standaard"/>
    <w:link w:val="Kop2Char"/>
    <w:uiPriority w:val="9"/>
    <w:unhideWhenUsed/>
    <w:qFormat/>
    <w:rsid w:val="00863C3B"/>
    <w:pPr>
      <w:keepNext/>
      <w:keepLines/>
      <w:spacing w:before="160" w:after="0" w:line="280" w:lineRule="exact"/>
      <w:outlineLvl w:val="1"/>
    </w:pPr>
    <w:rPr>
      <w:rFonts w:asciiTheme="majorHAnsi" w:eastAsiaTheme="majorEastAsia" w:hAnsiTheme="majorHAnsi" w:cstheme="majorBidi"/>
      <w:color w:val="0091BD" w:themeColor="accent1"/>
      <w:sz w:val="26"/>
      <w:szCs w:val="28"/>
    </w:rPr>
  </w:style>
  <w:style w:type="paragraph" w:styleId="Kop3">
    <w:name w:val="heading 3"/>
    <w:basedOn w:val="Standaard"/>
    <w:next w:val="Standaard"/>
    <w:link w:val="Kop3Char"/>
    <w:uiPriority w:val="9"/>
    <w:unhideWhenUsed/>
    <w:qFormat/>
    <w:rsid w:val="00863C3B"/>
    <w:pPr>
      <w:keepNext/>
      <w:keepLines/>
      <w:spacing w:before="80" w:after="0" w:line="280" w:lineRule="exact"/>
      <w:outlineLvl w:val="2"/>
    </w:pPr>
    <w:rPr>
      <w:rFonts w:asciiTheme="majorHAnsi" w:eastAsiaTheme="majorEastAsia" w:hAnsiTheme="majorHAnsi" w:cstheme="majorBidi"/>
      <w:color w:val="F29400" w:themeColor="accent2"/>
      <w:sz w:val="26"/>
      <w:szCs w:val="26"/>
    </w:rPr>
  </w:style>
  <w:style w:type="paragraph" w:styleId="Kop4">
    <w:name w:val="heading 4"/>
    <w:basedOn w:val="Standaard"/>
    <w:next w:val="Standaard"/>
    <w:link w:val="Kop4Char"/>
    <w:uiPriority w:val="9"/>
    <w:semiHidden/>
    <w:unhideWhenUsed/>
    <w:rsid w:val="00462F90"/>
    <w:pPr>
      <w:keepNext/>
      <w:keepLines/>
      <w:spacing w:before="80" w:after="0" w:line="260" w:lineRule="exact"/>
      <w:outlineLvl w:val="3"/>
    </w:pPr>
    <w:rPr>
      <w:rFonts w:asciiTheme="majorHAnsi" w:eastAsiaTheme="majorEastAsia" w:hAnsiTheme="majorHAnsi" w:cstheme="majorBidi"/>
      <w:b/>
      <w:sz w:val="24"/>
      <w:szCs w:val="24"/>
    </w:rPr>
  </w:style>
  <w:style w:type="paragraph" w:styleId="Kop5">
    <w:name w:val="heading 5"/>
    <w:basedOn w:val="Standaard"/>
    <w:next w:val="Standaard"/>
    <w:link w:val="Kop5Char"/>
    <w:uiPriority w:val="9"/>
    <w:semiHidden/>
    <w:unhideWhenUsed/>
    <w:qFormat/>
    <w:rsid w:val="009374D6"/>
    <w:pPr>
      <w:keepNext/>
      <w:keepLines/>
      <w:spacing w:before="80" w:after="0"/>
      <w:outlineLvl w:val="4"/>
    </w:pPr>
    <w:rPr>
      <w:rFonts w:asciiTheme="majorHAnsi" w:eastAsiaTheme="majorEastAsia" w:hAnsiTheme="majorHAnsi" w:cstheme="majorBidi"/>
      <w:i/>
      <w:iCs/>
      <w:sz w:val="22"/>
      <w:szCs w:val="22"/>
    </w:rPr>
  </w:style>
  <w:style w:type="paragraph" w:styleId="Kop6">
    <w:name w:val="heading 6"/>
    <w:basedOn w:val="Standaard"/>
    <w:next w:val="Standaard"/>
    <w:link w:val="Kop6Char"/>
    <w:uiPriority w:val="9"/>
    <w:semiHidden/>
    <w:unhideWhenUsed/>
    <w:qFormat/>
    <w:rsid w:val="009374D6"/>
    <w:pPr>
      <w:keepNext/>
      <w:keepLines/>
      <w:spacing w:before="80" w:after="0"/>
      <w:outlineLvl w:val="5"/>
    </w:pPr>
    <w:rPr>
      <w:rFonts w:asciiTheme="majorHAnsi" w:eastAsiaTheme="majorEastAsia" w:hAnsiTheme="majorHAnsi" w:cstheme="majorBidi"/>
      <w:color w:val="595959" w:themeColor="text1" w:themeTint="A6"/>
    </w:rPr>
  </w:style>
  <w:style w:type="paragraph" w:styleId="Kop7">
    <w:name w:val="heading 7"/>
    <w:basedOn w:val="Standaard"/>
    <w:next w:val="Standaard"/>
    <w:link w:val="Kop7Char"/>
    <w:uiPriority w:val="9"/>
    <w:semiHidden/>
    <w:unhideWhenUsed/>
    <w:qFormat/>
    <w:rsid w:val="009374D6"/>
    <w:pPr>
      <w:keepNext/>
      <w:keepLines/>
      <w:spacing w:before="80" w:after="0"/>
      <w:outlineLvl w:val="6"/>
    </w:pPr>
    <w:rPr>
      <w:rFonts w:asciiTheme="majorHAnsi" w:eastAsiaTheme="majorEastAsia" w:hAnsiTheme="majorHAnsi" w:cstheme="majorBidi"/>
      <w:i/>
      <w:iCs/>
      <w:color w:val="595959" w:themeColor="text1" w:themeTint="A6"/>
    </w:rPr>
  </w:style>
  <w:style w:type="paragraph" w:styleId="Kop8">
    <w:name w:val="heading 8"/>
    <w:basedOn w:val="Standaard"/>
    <w:next w:val="Standaard"/>
    <w:link w:val="Kop8Char"/>
    <w:uiPriority w:val="9"/>
    <w:semiHidden/>
    <w:unhideWhenUsed/>
    <w:qFormat/>
    <w:rsid w:val="009374D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Kop9">
    <w:name w:val="heading 9"/>
    <w:basedOn w:val="Standaard"/>
    <w:next w:val="Standaard"/>
    <w:link w:val="Kop9Char"/>
    <w:uiPriority w:val="9"/>
    <w:semiHidden/>
    <w:unhideWhenUsed/>
    <w:qFormat/>
    <w:rsid w:val="009374D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63C3B"/>
    <w:rPr>
      <w:rFonts w:asciiTheme="majorHAnsi" w:eastAsiaTheme="majorEastAsia" w:hAnsiTheme="majorHAnsi" w:cstheme="majorBidi"/>
      <w:color w:val="0091BD" w:themeColor="accent1"/>
      <w:sz w:val="30"/>
      <w:szCs w:val="36"/>
    </w:rPr>
  </w:style>
  <w:style w:type="character" w:customStyle="1" w:styleId="Kop2Char">
    <w:name w:val="Kop 2 Char"/>
    <w:basedOn w:val="Standaardalinea-lettertype"/>
    <w:link w:val="Kop2"/>
    <w:uiPriority w:val="9"/>
    <w:rsid w:val="00863C3B"/>
    <w:rPr>
      <w:rFonts w:asciiTheme="majorHAnsi" w:eastAsiaTheme="majorEastAsia" w:hAnsiTheme="majorHAnsi" w:cstheme="majorBidi"/>
      <w:color w:val="0091BD" w:themeColor="accent1"/>
      <w:sz w:val="26"/>
      <w:szCs w:val="28"/>
    </w:rPr>
  </w:style>
  <w:style w:type="paragraph" w:styleId="Titel">
    <w:name w:val="Title"/>
    <w:basedOn w:val="Standaard"/>
    <w:next w:val="Standaard"/>
    <w:link w:val="TitelChar"/>
    <w:uiPriority w:val="10"/>
    <w:qFormat/>
    <w:rsid w:val="00863C3B"/>
    <w:pPr>
      <w:spacing w:after="0" w:line="500" w:lineRule="exact"/>
      <w:contextualSpacing/>
    </w:pPr>
    <w:rPr>
      <w:rFonts w:asciiTheme="majorHAnsi" w:eastAsiaTheme="majorEastAsia" w:hAnsiTheme="majorHAnsi" w:cstheme="majorBidi"/>
      <w:caps/>
      <w:color w:val="000000" w:themeColor="text1"/>
      <w:spacing w:val="-7"/>
      <w:sz w:val="50"/>
      <w:szCs w:val="80"/>
    </w:rPr>
  </w:style>
  <w:style w:type="character" w:customStyle="1" w:styleId="TitelChar">
    <w:name w:val="Titel Char"/>
    <w:basedOn w:val="Standaardalinea-lettertype"/>
    <w:link w:val="Titel"/>
    <w:uiPriority w:val="10"/>
    <w:rsid w:val="00863C3B"/>
    <w:rPr>
      <w:rFonts w:asciiTheme="majorHAnsi" w:eastAsiaTheme="majorEastAsia" w:hAnsiTheme="majorHAnsi" w:cstheme="majorBidi"/>
      <w:caps/>
      <w:color w:val="000000" w:themeColor="text1"/>
      <w:spacing w:val="-7"/>
      <w:sz w:val="50"/>
      <w:szCs w:val="80"/>
    </w:rPr>
  </w:style>
  <w:style w:type="paragraph" w:styleId="Ondertitel">
    <w:name w:val="Subtitle"/>
    <w:basedOn w:val="Standaard"/>
    <w:next w:val="Standaard"/>
    <w:link w:val="OndertitelChar"/>
    <w:uiPriority w:val="11"/>
    <w:qFormat/>
    <w:rsid w:val="009374D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OndertitelChar">
    <w:name w:val="Ondertitel Char"/>
    <w:basedOn w:val="Standaardalinea-lettertype"/>
    <w:link w:val="Ondertitel"/>
    <w:uiPriority w:val="11"/>
    <w:rsid w:val="009374D6"/>
    <w:rPr>
      <w:rFonts w:asciiTheme="majorHAnsi" w:eastAsiaTheme="majorEastAsia" w:hAnsiTheme="majorHAnsi" w:cstheme="majorBidi"/>
      <w:color w:val="404040" w:themeColor="text1" w:themeTint="BF"/>
      <w:sz w:val="30"/>
      <w:szCs w:val="30"/>
    </w:rPr>
  </w:style>
  <w:style w:type="character" w:styleId="Subtielebenadrukking">
    <w:name w:val="Subtle Emphasis"/>
    <w:basedOn w:val="Standaardalinea-lettertype"/>
    <w:uiPriority w:val="19"/>
    <w:qFormat/>
    <w:rsid w:val="009374D6"/>
    <w:rPr>
      <w:i/>
      <w:iCs/>
      <w:color w:val="595959" w:themeColor="text1" w:themeTint="A6"/>
    </w:rPr>
  </w:style>
  <w:style w:type="paragraph" w:styleId="Citaat">
    <w:name w:val="Quote"/>
    <w:basedOn w:val="Standaard"/>
    <w:next w:val="Standaard"/>
    <w:link w:val="CitaatChar"/>
    <w:uiPriority w:val="29"/>
    <w:qFormat/>
    <w:rsid w:val="009374D6"/>
    <w:pPr>
      <w:spacing w:before="240" w:after="240" w:line="252" w:lineRule="auto"/>
      <w:ind w:left="864" w:right="864"/>
      <w:jc w:val="center"/>
    </w:pPr>
    <w:rPr>
      <w:i/>
      <w:iCs/>
    </w:rPr>
  </w:style>
  <w:style w:type="character" w:customStyle="1" w:styleId="CitaatChar">
    <w:name w:val="Citaat Char"/>
    <w:basedOn w:val="Standaardalinea-lettertype"/>
    <w:link w:val="Citaat"/>
    <w:uiPriority w:val="29"/>
    <w:rsid w:val="009374D6"/>
    <w:rPr>
      <w:i/>
      <w:iCs/>
    </w:rPr>
  </w:style>
  <w:style w:type="paragraph" w:styleId="Duidelijkcitaat">
    <w:name w:val="Intense Quote"/>
    <w:basedOn w:val="Standaard"/>
    <w:next w:val="Standaard"/>
    <w:link w:val="DuidelijkcitaatChar"/>
    <w:uiPriority w:val="30"/>
    <w:qFormat/>
    <w:rsid w:val="009374D6"/>
    <w:pPr>
      <w:spacing w:before="100" w:beforeAutospacing="1" w:after="240"/>
      <w:ind w:left="864" w:right="864"/>
      <w:jc w:val="center"/>
    </w:pPr>
    <w:rPr>
      <w:rFonts w:asciiTheme="majorHAnsi" w:eastAsiaTheme="majorEastAsia" w:hAnsiTheme="majorHAnsi" w:cstheme="majorBidi"/>
      <w:color w:val="0091BD" w:themeColor="accent1"/>
      <w:sz w:val="28"/>
      <w:szCs w:val="28"/>
    </w:rPr>
  </w:style>
  <w:style w:type="character" w:customStyle="1" w:styleId="DuidelijkcitaatChar">
    <w:name w:val="Duidelijk citaat Char"/>
    <w:basedOn w:val="Standaardalinea-lettertype"/>
    <w:link w:val="Duidelijkcitaat"/>
    <w:uiPriority w:val="30"/>
    <w:rsid w:val="009374D6"/>
    <w:rPr>
      <w:rFonts w:asciiTheme="majorHAnsi" w:eastAsiaTheme="majorEastAsia" w:hAnsiTheme="majorHAnsi" w:cstheme="majorBidi"/>
      <w:color w:val="0091BD" w:themeColor="accent1"/>
      <w:sz w:val="28"/>
      <w:szCs w:val="28"/>
    </w:rPr>
  </w:style>
  <w:style w:type="character" w:styleId="Subtieleverwijzing">
    <w:name w:val="Subtle Reference"/>
    <w:basedOn w:val="Standaardalinea-lettertype"/>
    <w:uiPriority w:val="31"/>
    <w:qFormat/>
    <w:rsid w:val="009374D6"/>
    <w:rPr>
      <w:smallCaps/>
      <w:color w:val="404040" w:themeColor="text1" w:themeTint="BF"/>
    </w:rPr>
  </w:style>
  <w:style w:type="character" w:styleId="Intensieveverwijzing">
    <w:name w:val="Intense Reference"/>
    <w:basedOn w:val="Standaardalinea-lettertype"/>
    <w:uiPriority w:val="32"/>
    <w:qFormat/>
    <w:rsid w:val="009374D6"/>
    <w:rPr>
      <w:b/>
      <w:bCs/>
      <w:smallCaps/>
      <w:u w:val="single"/>
    </w:rPr>
  </w:style>
  <w:style w:type="character" w:styleId="Titelvanboek">
    <w:name w:val="Book Title"/>
    <w:basedOn w:val="Standaardalinea-lettertype"/>
    <w:uiPriority w:val="33"/>
    <w:qFormat/>
    <w:rsid w:val="009374D6"/>
    <w:rPr>
      <w:b/>
      <w:bCs/>
      <w:smallCaps/>
    </w:rPr>
  </w:style>
  <w:style w:type="paragraph" w:styleId="Lijstalinea">
    <w:name w:val="List Paragraph"/>
    <w:basedOn w:val="Standaard"/>
    <w:uiPriority w:val="34"/>
    <w:qFormat/>
    <w:rsid w:val="00254CD3"/>
    <w:pPr>
      <w:ind w:left="720"/>
      <w:contextualSpacing/>
    </w:pPr>
  </w:style>
  <w:style w:type="character" w:styleId="Intensievebenadrukking">
    <w:name w:val="Intense Emphasis"/>
    <w:basedOn w:val="Standaardalinea-lettertype"/>
    <w:uiPriority w:val="21"/>
    <w:qFormat/>
    <w:rsid w:val="009374D6"/>
    <w:rPr>
      <w:b/>
      <w:bCs/>
      <w:i/>
      <w:iCs/>
    </w:rPr>
  </w:style>
  <w:style w:type="table" w:styleId="Tabelraster">
    <w:name w:val="Table Grid"/>
    <w:basedOn w:val="Standaardtabel"/>
    <w:uiPriority w:val="39"/>
    <w:rsid w:val="00254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Accent1">
    <w:name w:val="Grid Table 4 Accent 1"/>
    <w:basedOn w:val="Standaardtabel"/>
    <w:uiPriority w:val="49"/>
    <w:rsid w:val="00462F90"/>
    <w:pPr>
      <w:spacing w:after="0" w:line="240" w:lineRule="auto"/>
    </w:pPr>
    <w:tblPr>
      <w:tblStyleRowBandSize w:val="1"/>
      <w:tblStyleColBandSize w:val="1"/>
      <w:tblBorders>
        <w:top w:val="single" w:sz="4" w:space="0" w:color="3ED1FF" w:themeColor="accent1" w:themeTint="99"/>
        <w:left w:val="single" w:sz="4" w:space="0" w:color="3ED1FF" w:themeColor="accent1" w:themeTint="99"/>
        <w:bottom w:val="single" w:sz="4" w:space="0" w:color="3ED1FF" w:themeColor="accent1" w:themeTint="99"/>
        <w:right w:val="single" w:sz="4" w:space="0" w:color="3ED1FF" w:themeColor="accent1" w:themeTint="99"/>
        <w:insideH w:val="single" w:sz="4" w:space="0" w:color="3ED1FF" w:themeColor="accent1" w:themeTint="99"/>
        <w:insideV w:val="single" w:sz="4" w:space="0" w:color="3ED1FF" w:themeColor="accent1" w:themeTint="99"/>
      </w:tblBorders>
    </w:tblPr>
    <w:tblStylePr w:type="firstRow">
      <w:rPr>
        <w:b/>
        <w:bCs/>
        <w:color w:val="FFFFFF" w:themeColor="background1"/>
      </w:rPr>
      <w:tblPr/>
      <w:tcPr>
        <w:tcBorders>
          <w:top w:val="single" w:sz="4" w:space="0" w:color="0091BD" w:themeColor="accent1"/>
          <w:left w:val="single" w:sz="4" w:space="0" w:color="0091BD" w:themeColor="accent1"/>
          <w:bottom w:val="single" w:sz="4" w:space="0" w:color="0091BD" w:themeColor="accent1"/>
          <w:right w:val="single" w:sz="4" w:space="0" w:color="0091BD" w:themeColor="accent1"/>
          <w:insideH w:val="nil"/>
          <w:insideV w:val="nil"/>
        </w:tcBorders>
        <w:shd w:val="clear" w:color="auto" w:fill="0091BD" w:themeFill="accent1"/>
      </w:tcPr>
    </w:tblStylePr>
    <w:tblStylePr w:type="lastRow">
      <w:rPr>
        <w:b/>
        <w:bCs/>
      </w:rPr>
      <w:tblPr/>
      <w:tcPr>
        <w:tcBorders>
          <w:top w:val="double" w:sz="4" w:space="0" w:color="0091BD" w:themeColor="accent1"/>
        </w:tcBorders>
      </w:tcPr>
    </w:tblStylePr>
    <w:tblStylePr w:type="firstCol">
      <w:rPr>
        <w:b/>
        <w:bCs/>
      </w:rPr>
    </w:tblStylePr>
    <w:tblStylePr w:type="lastCol">
      <w:rPr>
        <w:b/>
        <w:bCs/>
      </w:rPr>
    </w:tblStylePr>
    <w:tblStylePr w:type="band1Vert">
      <w:tblPr/>
      <w:tcPr>
        <w:shd w:val="clear" w:color="auto" w:fill="BEEFFF" w:themeFill="accent1" w:themeFillTint="33"/>
      </w:tcPr>
    </w:tblStylePr>
    <w:tblStylePr w:type="band1Horz">
      <w:tblPr/>
      <w:tcPr>
        <w:shd w:val="clear" w:color="auto" w:fill="BEEFFF" w:themeFill="accent1" w:themeFillTint="33"/>
      </w:tcPr>
    </w:tblStylePr>
  </w:style>
  <w:style w:type="paragraph" w:styleId="Kopvaninhoudsopgave">
    <w:name w:val="TOC Heading"/>
    <w:basedOn w:val="Kop1"/>
    <w:next w:val="Standaard"/>
    <w:uiPriority w:val="39"/>
    <w:unhideWhenUsed/>
    <w:qFormat/>
    <w:rsid w:val="009374D6"/>
    <w:pPr>
      <w:outlineLvl w:val="9"/>
    </w:pPr>
  </w:style>
  <w:style w:type="character" w:customStyle="1" w:styleId="Kop3Char">
    <w:name w:val="Kop 3 Char"/>
    <w:basedOn w:val="Standaardalinea-lettertype"/>
    <w:link w:val="Kop3"/>
    <w:uiPriority w:val="9"/>
    <w:rsid w:val="00863C3B"/>
    <w:rPr>
      <w:rFonts w:asciiTheme="majorHAnsi" w:eastAsiaTheme="majorEastAsia" w:hAnsiTheme="majorHAnsi" w:cstheme="majorBidi"/>
      <w:color w:val="F29400" w:themeColor="accent2"/>
      <w:sz w:val="26"/>
      <w:szCs w:val="26"/>
    </w:rPr>
  </w:style>
  <w:style w:type="character" w:customStyle="1" w:styleId="Kop4Char">
    <w:name w:val="Kop 4 Char"/>
    <w:basedOn w:val="Standaardalinea-lettertype"/>
    <w:link w:val="Kop4"/>
    <w:uiPriority w:val="9"/>
    <w:semiHidden/>
    <w:rsid w:val="00462F90"/>
    <w:rPr>
      <w:rFonts w:asciiTheme="majorHAnsi" w:eastAsiaTheme="majorEastAsia" w:hAnsiTheme="majorHAnsi" w:cstheme="majorBidi"/>
      <w:b/>
      <w:sz w:val="24"/>
      <w:szCs w:val="24"/>
    </w:rPr>
  </w:style>
  <w:style w:type="character" w:customStyle="1" w:styleId="Kop5Char">
    <w:name w:val="Kop 5 Char"/>
    <w:basedOn w:val="Standaardalinea-lettertype"/>
    <w:link w:val="Kop5"/>
    <w:uiPriority w:val="9"/>
    <w:semiHidden/>
    <w:rsid w:val="009374D6"/>
    <w:rPr>
      <w:rFonts w:asciiTheme="majorHAnsi" w:eastAsiaTheme="majorEastAsia" w:hAnsiTheme="majorHAnsi" w:cstheme="majorBidi"/>
      <w:i/>
      <w:iCs/>
      <w:sz w:val="22"/>
      <w:szCs w:val="22"/>
    </w:rPr>
  </w:style>
  <w:style w:type="character" w:customStyle="1" w:styleId="Kop6Char">
    <w:name w:val="Kop 6 Char"/>
    <w:basedOn w:val="Standaardalinea-lettertype"/>
    <w:link w:val="Kop6"/>
    <w:uiPriority w:val="9"/>
    <w:semiHidden/>
    <w:rsid w:val="009374D6"/>
    <w:rPr>
      <w:rFonts w:asciiTheme="majorHAnsi" w:eastAsiaTheme="majorEastAsia" w:hAnsiTheme="majorHAnsi" w:cstheme="majorBidi"/>
      <w:color w:val="595959" w:themeColor="text1" w:themeTint="A6"/>
    </w:rPr>
  </w:style>
  <w:style w:type="character" w:customStyle="1" w:styleId="Kop7Char">
    <w:name w:val="Kop 7 Char"/>
    <w:basedOn w:val="Standaardalinea-lettertype"/>
    <w:link w:val="Kop7"/>
    <w:uiPriority w:val="9"/>
    <w:semiHidden/>
    <w:rsid w:val="009374D6"/>
    <w:rPr>
      <w:rFonts w:asciiTheme="majorHAnsi" w:eastAsiaTheme="majorEastAsia" w:hAnsiTheme="majorHAnsi" w:cstheme="majorBidi"/>
      <w:i/>
      <w:iCs/>
      <w:color w:val="595959" w:themeColor="text1" w:themeTint="A6"/>
    </w:rPr>
  </w:style>
  <w:style w:type="character" w:customStyle="1" w:styleId="Kop8Char">
    <w:name w:val="Kop 8 Char"/>
    <w:basedOn w:val="Standaardalinea-lettertype"/>
    <w:link w:val="Kop8"/>
    <w:uiPriority w:val="9"/>
    <w:semiHidden/>
    <w:rsid w:val="009374D6"/>
    <w:rPr>
      <w:rFonts w:asciiTheme="majorHAnsi" w:eastAsiaTheme="majorEastAsia" w:hAnsiTheme="majorHAnsi" w:cstheme="majorBidi"/>
      <w:smallCaps/>
      <w:color w:val="595959" w:themeColor="text1" w:themeTint="A6"/>
    </w:rPr>
  </w:style>
  <w:style w:type="character" w:customStyle="1" w:styleId="Kop9Char">
    <w:name w:val="Kop 9 Char"/>
    <w:basedOn w:val="Standaardalinea-lettertype"/>
    <w:link w:val="Kop9"/>
    <w:uiPriority w:val="9"/>
    <w:semiHidden/>
    <w:rsid w:val="009374D6"/>
    <w:rPr>
      <w:rFonts w:asciiTheme="majorHAnsi" w:eastAsiaTheme="majorEastAsia" w:hAnsiTheme="majorHAnsi" w:cstheme="majorBidi"/>
      <w:i/>
      <w:iCs/>
      <w:smallCaps/>
      <w:color w:val="595959" w:themeColor="text1" w:themeTint="A6"/>
    </w:rPr>
  </w:style>
  <w:style w:type="paragraph" w:styleId="Bijschrift">
    <w:name w:val="caption"/>
    <w:basedOn w:val="Standaard"/>
    <w:next w:val="Standaard"/>
    <w:uiPriority w:val="35"/>
    <w:semiHidden/>
    <w:unhideWhenUsed/>
    <w:qFormat/>
    <w:rsid w:val="009374D6"/>
    <w:pPr>
      <w:spacing w:line="240" w:lineRule="auto"/>
    </w:pPr>
    <w:rPr>
      <w:b/>
      <w:bCs/>
      <w:color w:val="404040" w:themeColor="text1" w:themeTint="BF"/>
      <w:szCs w:val="20"/>
    </w:rPr>
  </w:style>
  <w:style w:type="character" w:styleId="Zwaar">
    <w:name w:val="Strong"/>
    <w:basedOn w:val="Standaardalinea-lettertype"/>
    <w:uiPriority w:val="22"/>
    <w:qFormat/>
    <w:rsid w:val="009374D6"/>
    <w:rPr>
      <w:b/>
      <w:bCs/>
    </w:rPr>
  </w:style>
  <w:style w:type="character" w:styleId="Nadruk">
    <w:name w:val="Emphasis"/>
    <w:basedOn w:val="Standaardalinea-lettertype"/>
    <w:uiPriority w:val="20"/>
    <w:qFormat/>
    <w:rsid w:val="009374D6"/>
    <w:rPr>
      <w:i/>
      <w:iCs/>
    </w:rPr>
  </w:style>
  <w:style w:type="paragraph" w:styleId="Geenafstand">
    <w:name w:val="No Spacing"/>
    <w:uiPriority w:val="1"/>
    <w:qFormat/>
    <w:rsid w:val="003F49B1"/>
    <w:pPr>
      <w:spacing w:after="0" w:line="240" w:lineRule="auto"/>
    </w:pPr>
    <w:rPr>
      <w:sz w:val="20"/>
    </w:rPr>
  </w:style>
  <w:style w:type="table" w:styleId="Rastertabel4-Accent2">
    <w:name w:val="Grid Table 4 Accent 2"/>
    <w:basedOn w:val="Standaardtabel"/>
    <w:uiPriority w:val="49"/>
    <w:rsid w:val="00462F90"/>
    <w:pPr>
      <w:spacing w:after="0" w:line="240" w:lineRule="auto"/>
    </w:pPr>
    <w:tblPr>
      <w:tblStyleRowBandSize w:val="1"/>
      <w:tblStyleColBandSize w:val="1"/>
      <w:tblBorders>
        <w:top w:val="single" w:sz="4" w:space="0" w:color="FFBF5E" w:themeColor="accent2" w:themeTint="99"/>
        <w:left w:val="single" w:sz="4" w:space="0" w:color="FFBF5E" w:themeColor="accent2" w:themeTint="99"/>
        <w:bottom w:val="single" w:sz="4" w:space="0" w:color="FFBF5E" w:themeColor="accent2" w:themeTint="99"/>
        <w:right w:val="single" w:sz="4" w:space="0" w:color="FFBF5E" w:themeColor="accent2" w:themeTint="99"/>
        <w:insideH w:val="single" w:sz="4" w:space="0" w:color="FFBF5E" w:themeColor="accent2" w:themeTint="99"/>
        <w:insideV w:val="single" w:sz="4" w:space="0" w:color="FFBF5E" w:themeColor="accent2" w:themeTint="99"/>
      </w:tblBorders>
    </w:tblPr>
    <w:tblStylePr w:type="firstRow">
      <w:rPr>
        <w:b/>
        <w:bCs/>
        <w:color w:val="FFFFFF" w:themeColor="background1"/>
      </w:rPr>
      <w:tblPr/>
      <w:tcPr>
        <w:tcBorders>
          <w:top w:val="single" w:sz="4" w:space="0" w:color="F29400" w:themeColor="accent2"/>
          <w:left w:val="single" w:sz="4" w:space="0" w:color="F29400" w:themeColor="accent2"/>
          <w:bottom w:val="single" w:sz="4" w:space="0" w:color="F29400" w:themeColor="accent2"/>
          <w:right w:val="single" w:sz="4" w:space="0" w:color="F29400" w:themeColor="accent2"/>
          <w:insideH w:val="nil"/>
          <w:insideV w:val="nil"/>
        </w:tcBorders>
        <w:shd w:val="clear" w:color="auto" w:fill="F29400" w:themeFill="accent2"/>
      </w:tcPr>
    </w:tblStylePr>
    <w:tblStylePr w:type="lastRow">
      <w:rPr>
        <w:b/>
        <w:bCs/>
      </w:rPr>
      <w:tblPr/>
      <w:tcPr>
        <w:tcBorders>
          <w:top w:val="double" w:sz="4" w:space="0" w:color="F29400" w:themeColor="accent2"/>
        </w:tcBorders>
      </w:tcPr>
    </w:tblStylePr>
    <w:tblStylePr w:type="firstCol">
      <w:rPr>
        <w:b/>
        <w:bCs/>
      </w:rPr>
    </w:tblStylePr>
    <w:tblStylePr w:type="lastCol">
      <w:rPr>
        <w:b/>
        <w:bCs/>
      </w:rPr>
    </w:tblStylePr>
    <w:tblStylePr w:type="band1Vert">
      <w:tblPr/>
      <w:tcPr>
        <w:shd w:val="clear" w:color="auto" w:fill="FFE9C9" w:themeFill="accent2" w:themeFillTint="33"/>
      </w:tcPr>
    </w:tblStylePr>
    <w:tblStylePr w:type="band1Horz">
      <w:tblPr/>
      <w:tcPr>
        <w:shd w:val="clear" w:color="auto" w:fill="FFE9C9" w:themeFill="accent2" w:themeFillTint="33"/>
      </w:tcPr>
    </w:tblStylePr>
  </w:style>
  <w:style w:type="table" w:styleId="Rastertabel4-Accent4">
    <w:name w:val="Grid Table 4 Accent 4"/>
    <w:basedOn w:val="Standaardtabel"/>
    <w:uiPriority w:val="49"/>
    <w:rsid w:val="00462F90"/>
    <w:pPr>
      <w:spacing w:after="0" w:line="240" w:lineRule="auto"/>
    </w:pPr>
    <w:tblPr>
      <w:tblStyleRowBandSize w:val="1"/>
      <w:tblStyleColBandSize w:val="1"/>
      <w:tblBorders>
        <w:top w:val="single" w:sz="4" w:space="0" w:color="FF4881" w:themeColor="accent4" w:themeTint="99"/>
        <w:left w:val="single" w:sz="4" w:space="0" w:color="FF4881" w:themeColor="accent4" w:themeTint="99"/>
        <w:bottom w:val="single" w:sz="4" w:space="0" w:color="FF4881" w:themeColor="accent4" w:themeTint="99"/>
        <w:right w:val="single" w:sz="4" w:space="0" w:color="FF4881" w:themeColor="accent4" w:themeTint="99"/>
        <w:insideH w:val="single" w:sz="4" w:space="0" w:color="FF4881" w:themeColor="accent4" w:themeTint="99"/>
        <w:insideV w:val="single" w:sz="4" w:space="0" w:color="FF4881" w:themeColor="accent4" w:themeTint="99"/>
      </w:tblBorders>
    </w:tblPr>
    <w:tblStylePr w:type="firstRow">
      <w:rPr>
        <w:b/>
        <w:bCs/>
        <w:color w:val="FFFFFF" w:themeColor="background1"/>
      </w:rPr>
      <w:tblPr/>
      <w:tcPr>
        <w:tcBorders>
          <w:top w:val="single" w:sz="4" w:space="0" w:color="CD0041" w:themeColor="accent4"/>
          <w:left w:val="single" w:sz="4" w:space="0" w:color="CD0041" w:themeColor="accent4"/>
          <w:bottom w:val="single" w:sz="4" w:space="0" w:color="CD0041" w:themeColor="accent4"/>
          <w:right w:val="single" w:sz="4" w:space="0" w:color="CD0041" w:themeColor="accent4"/>
          <w:insideH w:val="nil"/>
          <w:insideV w:val="nil"/>
        </w:tcBorders>
        <w:shd w:val="clear" w:color="auto" w:fill="CD0041" w:themeFill="accent4"/>
      </w:tcPr>
    </w:tblStylePr>
    <w:tblStylePr w:type="lastRow">
      <w:rPr>
        <w:b/>
        <w:bCs/>
      </w:rPr>
      <w:tblPr/>
      <w:tcPr>
        <w:tcBorders>
          <w:top w:val="double" w:sz="4" w:space="0" w:color="CD0041" w:themeColor="accent4"/>
        </w:tcBorders>
      </w:tcPr>
    </w:tblStylePr>
    <w:tblStylePr w:type="firstCol">
      <w:rPr>
        <w:b/>
        <w:bCs/>
      </w:rPr>
    </w:tblStylePr>
    <w:tblStylePr w:type="lastCol">
      <w:rPr>
        <w:b/>
        <w:bCs/>
      </w:rPr>
    </w:tblStylePr>
    <w:tblStylePr w:type="band1Vert">
      <w:tblPr/>
      <w:tcPr>
        <w:shd w:val="clear" w:color="auto" w:fill="FFC2D5" w:themeFill="accent4" w:themeFillTint="33"/>
      </w:tcPr>
    </w:tblStylePr>
    <w:tblStylePr w:type="band1Horz">
      <w:tblPr/>
      <w:tcPr>
        <w:shd w:val="clear" w:color="auto" w:fill="FFC2D5" w:themeFill="accent4" w:themeFillTint="33"/>
      </w:tcPr>
    </w:tblStylePr>
  </w:style>
  <w:style w:type="table" w:styleId="Rastertabel5donker-Accent2">
    <w:name w:val="Grid Table 5 Dark Accent 2"/>
    <w:basedOn w:val="Standaardtabel"/>
    <w:uiPriority w:val="50"/>
    <w:rsid w:val="00E922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9C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94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94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94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9400" w:themeFill="accent2"/>
      </w:tcPr>
    </w:tblStylePr>
    <w:tblStylePr w:type="band1Vert">
      <w:tblPr/>
      <w:tcPr>
        <w:shd w:val="clear" w:color="auto" w:fill="FFD493" w:themeFill="accent2" w:themeFillTint="66"/>
      </w:tcPr>
    </w:tblStylePr>
    <w:tblStylePr w:type="band1Horz">
      <w:tblPr/>
      <w:tcPr>
        <w:shd w:val="clear" w:color="auto" w:fill="FFD493" w:themeFill="accent2" w:themeFillTint="66"/>
      </w:tcPr>
    </w:tblStylePr>
  </w:style>
  <w:style w:type="table" w:styleId="Rastertabel5donker-Accent4">
    <w:name w:val="Grid Table 5 Dark Accent 4"/>
    <w:basedOn w:val="Standaardtabel"/>
    <w:uiPriority w:val="50"/>
    <w:rsid w:val="00E922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2D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D004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D004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D004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D0041" w:themeFill="accent4"/>
      </w:tcPr>
    </w:tblStylePr>
    <w:tblStylePr w:type="band1Vert">
      <w:tblPr/>
      <w:tcPr>
        <w:shd w:val="clear" w:color="auto" w:fill="FF85AB" w:themeFill="accent4" w:themeFillTint="66"/>
      </w:tcPr>
    </w:tblStylePr>
    <w:tblStylePr w:type="band1Horz">
      <w:tblPr/>
      <w:tcPr>
        <w:shd w:val="clear" w:color="auto" w:fill="FF85AB" w:themeFill="accent4" w:themeFillTint="66"/>
      </w:tcPr>
    </w:tblStylePr>
  </w:style>
  <w:style w:type="table" w:styleId="Rastertabel5donker-Accent3">
    <w:name w:val="Grid Table 5 Dark Accent 3"/>
    <w:basedOn w:val="Standaardtabel"/>
    <w:uiPriority w:val="50"/>
    <w:rsid w:val="00E922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6C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AF1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AF1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AF1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AF1B" w:themeFill="accent3"/>
      </w:tcPr>
    </w:tblStylePr>
    <w:tblStylePr w:type="band1Vert">
      <w:tblPr/>
      <w:tcPr>
        <w:shd w:val="clear" w:color="auto" w:fill="D7EE94" w:themeFill="accent3" w:themeFillTint="66"/>
      </w:tcPr>
    </w:tblStylePr>
    <w:tblStylePr w:type="band1Horz">
      <w:tblPr/>
      <w:tcPr>
        <w:shd w:val="clear" w:color="auto" w:fill="D7EE94" w:themeFill="accent3" w:themeFillTint="66"/>
      </w:tcPr>
    </w:tblStylePr>
  </w:style>
  <w:style w:type="table" w:styleId="Rastertabel5donker-Accent1">
    <w:name w:val="Grid Table 5 Dark Accent 1"/>
    <w:basedOn w:val="Standaardtabel"/>
    <w:uiPriority w:val="50"/>
    <w:rsid w:val="00E922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EF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1BD" w:themeFill="accent1"/>
      </w:tcPr>
    </w:tblStylePr>
    <w:tblStylePr w:type="band1Vert">
      <w:tblPr/>
      <w:tcPr>
        <w:shd w:val="clear" w:color="auto" w:fill="7EE0FF" w:themeFill="accent1" w:themeFillTint="66"/>
      </w:tcPr>
    </w:tblStylePr>
    <w:tblStylePr w:type="band1Horz">
      <w:tblPr/>
      <w:tcPr>
        <w:shd w:val="clear" w:color="auto" w:fill="7EE0FF" w:themeFill="accent1" w:themeFillTint="66"/>
      </w:tcPr>
    </w:tblStylePr>
  </w:style>
  <w:style w:type="paragraph" w:styleId="Revisie">
    <w:name w:val="Revision"/>
    <w:hidden/>
    <w:uiPriority w:val="99"/>
    <w:semiHidden/>
    <w:rsid w:val="00EE2A3C"/>
    <w:pPr>
      <w:spacing w:after="0" w:line="240" w:lineRule="auto"/>
    </w:pPr>
    <w:rPr>
      <w:sz w:val="20"/>
    </w:rPr>
  </w:style>
  <w:style w:type="character" w:styleId="Verwijzingopmerking">
    <w:name w:val="annotation reference"/>
    <w:basedOn w:val="Standaardalinea-lettertype"/>
    <w:uiPriority w:val="99"/>
    <w:semiHidden/>
    <w:unhideWhenUsed/>
    <w:rsid w:val="00D509C7"/>
    <w:rPr>
      <w:sz w:val="16"/>
      <w:szCs w:val="16"/>
    </w:rPr>
  </w:style>
  <w:style w:type="paragraph" w:styleId="Tekstopmerking">
    <w:name w:val="annotation text"/>
    <w:basedOn w:val="Standaard"/>
    <w:link w:val="TekstopmerkingChar"/>
    <w:uiPriority w:val="99"/>
    <w:unhideWhenUsed/>
    <w:rsid w:val="00D509C7"/>
    <w:pPr>
      <w:spacing w:line="240" w:lineRule="auto"/>
    </w:pPr>
    <w:rPr>
      <w:szCs w:val="20"/>
    </w:rPr>
  </w:style>
  <w:style w:type="character" w:customStyle="1" w:styleId="TekstopmerkingChar">
    <w:name w:val="Tekst opmerking Char"/>
    <w:basedOn w:val="Standaardalinea-lettertype"/>
    <w:link w:val="Tekstopmerking"/>
    <w:uiPriority w:val="99"/>
    <w:rsid w:val="00D509C7"/>
    <w:rPr>
      <w:sz w:val="20"/>
      <w:szCs w:val="20"/>
    </w:rPr>
  </w:style>
  <w:style w:type="paragraph" w:styleId="Onderwerpvanopmerking">
    <w:name w:val="annotation subject"/>
    <w:basedOn w:val="Tekstopmerking"/>
    <w:next w:val="Tekstopmerking"/>
    <w:link w:val="OnderwerpvanopmerkingChar"/>
    <w:uiPriority w:val="99"/>
    <w:semiHidden/>
    <w:unhideWhenUsed/>
    <w:rsid w:val="00D509C7"/>
    <w:rPr>
      <w:b/>
      <w:bCs/>
    </w:rPr>
  </w:style>
  <w:style w:type="character" w:customStyle="1" w:styleId="OnderwerpvanopmerkingChar">
    <w:name w:val="Onderwerp van opmerking Char"/>
    <w:basedOn w:val="TekstopmerkingChar"/>
    <w:link w:val="Onderwerpvanopmerking"/>
    <w:uiPriority w:val="99"/>
    <w:semiHidden/>
    <w:rsid w:val="00D509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EsdMgt">
      <a:dk1>
        <a:sysClr val="windowText" lastClr="000000"/>
      </a:dk1>
      <a:lt1>
        <a:sysClr val="window" lastClr="FFFFFF"/>
      </a:lt1>
      <a:dk2>
        <a:srgbClr val="A5A5A5"/>
      </a:dk2>
      <a:lt2>
        <a:srgbClr val="E7E6E6"/>
      </a:lt2>
      <a:accent1>
        <a:srgbClr val="0091BD"/>
      </a:accent1>
      <a:accent2>
        <a:srgbClr val="F29400"/>
      </a:accent2>
      <a:accent3>
        <a:srgbClr val="8AAF1B"/>
      </a:accent3>
      <a:accent4>
        <a:srgbClr val="CD0041"/>
      </a:accent4>
      <a:accent5>
        <a:srgbClr val="D8D8D8"/>
      </a:accent5>
      <a:accent6>
        <a:srgbClr val="7F7F7F"/>
      </a:accent6>
      <a:hlink>
        <a:srgbClr val="CD0041"/>
      </a:hlink>
      <a:folHlink>
        <a:srgbClr val="0091B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ns:customPropertyEditors xmlns:tns="http://schemas.microsoft.com/office/2006/customDocumentInformationPanel">
  <tns:showOnOpen>false</tns:showOnOpen>
  <tns:defaultPropertyEditorNamespace>Standaardeigenschappen</tns:defaultPropertyEditorNamespace>
</tns:customPropertyEditors>
</file>

<file path=customXml/itemProps1.xml><?xml version="1.0" encoding="utf-8"?>
<ds:datastoreItem xmlns:ds="http://schemas.openxmlformats.org/officeDocument/2006/customXml" ds:itemID="{B5E61E1F-9F41-4099-B953-AE6F38516B60}">
  <ds:schemaRefs>
    <ds:schemaRef ds:uri="http://schemas.openxmlformats.org/officeDocument/2006/bibliography"/>
  </ds:schemaRefs>
</ds:datastoreItem>
</file>

<file path=customXml/itemProps2.xml><?xml version="1.0" encoding="utf-8"?>
<ds:datastoreItem xmlns:ds="http://schemas.openxmlformats.org/officeDocument/2006/customXml" ds:itemID="{19085FA2-0975-4A41-AD7E-A0482A89EAF7}">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925</Words>
  <Characters>5093</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Twan Wilmes</dc:creator>
  <cp:keywords/>
  <dc:description/>
  <cp:lastModifiedBy>Twan Wilmes</cp:lastModifiedBy>
  <cp:revision>10</cp:revision>
  <dcterms:created xsi:type="dcterms:W3CDTF">2025-05-26T09:53:00Z</dcterms:created>
  <dcterms:modified xsi:type="dcterms:W3CDTF">2025-06-11T07:28:00Z</dcterms:modified>
</cp:coreProperties>
</file>